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15C4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764758">
        <w:rPr>
          <w:rFonts w:ascii="Verdana" w:hAnsi="Verdana"/>
          <w:b/>
          <w:color w:val="000000"/>
          <w:sz w:val="32"/>
          <w:lang w:val="ru-RU"/>
        </w:rPr>
        <w:t>Пылкая заметка о трёх жизнях милонги</w:t>
      </w:r>
    </w:p>
    <w:p w14:paraId="32A215FA" w14:textId="2993A823" w:rsidR="000712A4" w:rsidRPr="00764758" w:rsidRDefault="000712A4" w:rsidP="0076475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764758">
        <w:rPr>
          <w:rFonts w:ascii="Verdana" w:hAnsi="Verdana"/>
          <w:color w:val="000000"/>
          <w:lang w:val="ru-RU"/>
        </w:rPr>
        <w:t>Хорхе Луис Борхес</w:t>
      </w:r>
    </w:p>
    <w:p w14:paraId="5B031525" w14:textId="77777777" w:rsidR="00764758" w:rsidRPr="00764758" w:rsidRDefault="00764758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F31D471" w14:textId="6536C3A1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4758">
        <w:rPr>
          <w:rFonts w:ascii="Verdana" w:hAnsi="Verdana"/>
          <w:color w:val="000000"/>
          <w:sz w:val="20"/>
          <w:lang w:val="ru-RU"/>
        </w:rPr>
        <w:t>Хуан де Диос Филиберто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то есть пара бакенбард и аккордеон, бродящие и печалящие Риачуэло,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сформулировал, как бы между прочим, трёхчастное разделение милонги, читай: танго. В глубинах журнала «</w:t>
      </w:r>
      <w:r w:rsidRPr="00764758">
        <w:rPr>
          <w:rFonts w:ascii="Verdana" w:hAnsi="Verdana"/>
          <w:color w:val="000000"/>
          <w:sz w:val="20"/>
        </w:rPr>
        <w:t>El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Hogar</w:t>
      </w:r>
      <w:r w:rsidR="00764758" w:rsidRPr="00764758">
        <w:rPr>
          <w:rFonts w:ascii="Verdana" w:hAnsi="Verdana"/>
          <w:color w:val="000000"/>
          <w:sz w:val="20"/>
          <w:lang w:val="ru-RU"/>
        </w:rPr>
        <w:t>»</w:t>
      </w:r>
      <w:r w:rsidR="00764758" w:rsidRPr="00764758">
        <w:rPr>
          <w:rFonts w:ascii="Verdana" w:hAnsi="Verdana"/>
          <w:color w:val="000000"/>
          <w:sz w:val="20"/>
          <w:lang w:val="ru-RU"/>
        </w:rPr>
        <w:t xml:space="preserve"> от пятнадцатого июля он предписывает ей такую троицу: </w:t>
      </w:r>
      <w:r w:rsidR="00764758" w:rsidRPr="00764758">
        <w:rPr>
          <w:rFonts w:ascii="Verdana" w:hAnsi="Verdana"/>
          <w:color w:val="000000"/>
          <w:sz w:val="20"/>
          <w:lang w:val="ru-RU"/>
        </w:rPr>
        <w:t>«</w:t>
      </w:r>
      <w:r w:rsidR="00764758" w:rsidRPr="00764758">
        <w:rPr>
          <w:rFonts w:ascii="Verdana" w:hAnsi="Verdana"/>
          <w:color w:val="000000"/>
          <w:sz w:val="20"/>
          <w:lang w:val="ru-RU"/>
        </w:rPr>
        <w:t>Милонгу,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="00764758" w:rsidRPr="00764758">
        <w:rPr>
          <w:rFonts w:ascii="Verdana" w:hAnsi="Verdana"/>
          <w:color w:val="000000"/>
          <w:sz w:val="20"/>
          <w:lang w:val="ru-RU"/>
        </w:rPr>
        <w:t>говорит нам Филиберто,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="00764758" w:rsidRPr="00764758">
        <w:rPr>
          <w:rFonts w:ascii="Verdana" w:hAnsi="Verdana"/>
          <w:color w:val="000000"/>
          <w:sz w:val="20"/>
          <w:lang w:val="ru-RU"/>
        </w:rPr>
        <w:t>я делю на три группы: первая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="00764758" w:rsidRPr="00764758">
        <w:rPr>
          <w:rFonts w:ascii="Verdana" w:hAnsi="Verdana"/>
          <w:color w:val="000000"/>
          <w:sz w:val="20"/>
          <w:lang w:val="ru-RU"/>
        </w:rPr>
        <w:t xml:space="preserve">полевая милонга, из сельской лавки, милонга </w:t>
      </w:r>
      <w:r w:rsidR="00764758" w:rsidRPr="00764758">
        <w:rPr>
          <w:rFonts w:ascii="Verdana" w:hAnsi="Verdana"/>
          <w:color w:val="000000"/>
          <w:sz w:val="20"/>
          <w:lang w:val="ru-RU"/>
        </w:rPr>
        <w:t>„</w:t>
      </w:r>
      <w:r w:rsidRPr="00764758">
        <w:rPr>
          <w:rFonts w:ascii="Verdana" w:hAnsi="Verdana"/>
          <w:color w:val="000000"/>
          <w:sz w:val="20"/>
          <w:lang w:val="ru-RU"/>
        </w:rPr>
        <w:t>Мартина Фьерро” с негром; вторая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задиристая милонга, энтрериосская, драчливая и ищущая ссоры; и третья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буэнос-айресская милонга, моя милонга, милонга боли и труда; милонга нужды, усталости, рабочего, который весь день работает, а ночью отмывает грязное лицо печали, напевая своей невесте все тревоги той тощей собаки, что зовётся Судьбой…»</w:t>
      </w:r>
    </w:p>
    <w:p w14:paraId="05AFB002" w14:textId="77777777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4758">
        <w:rPr>
          <w:rFonts w:ascii="Verdana" w:hAnsi="Verdana"/>
          <w:color w:val="000000"/>
          <w:sz w:val="20"/>
          <w:lang w:val="ru-RU"/>
        </w:rPr>
        <w:t>Я пропускаю аллегорически-помоечный стиль этой формулировки, столь характерный для удешевлённого ультраизма репортёров, и думаю о том, что в ней сказано.</w:t>
      </w:r>
    </w:p>
    <w:p w14:paraId="3FFFFA5B" w14:textId="32773AEA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4758">
        <w:rPr>
          <w:rFonts w:ascii="Verdana" w:hAnsi="Verdana"/>
          <w:color w:val="000000"/>
          <w:sz w:val="20"/>
          <w:lang w:val="ru-RU"/>
        </w:rPr>
        <w:t>Пойдём по порядку. Первая жизнь, которую здесь прописывают истории милонги,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полевая, из сельской лавки,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не слишком ясна. Сказать «полевая»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значит сослаться только на деревню; сказать «из сельской лавки»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 xml:space="preserve">значит перейти и к окраинам, что неплохо, поскольку милонга и была делом окраин. Деревянная стойка и гитарка окраинного задиры её породили, и, быть может, она была отстоем пения под цифру, хотя и отличалась от него. «Песенник Буэнос-Айресской провинции» Линча сперва приписывает её гаучо, но через две строки пишет, что ею занимаются только городские и деревенские задиры, что нет ни одной танцульки среднего пошиба, где она не появлялась бы, и что её танцуют в залах рынков </w:t>
      </w:r>
      <w:r w:rsidRPr="00764758">
        <w:rPr>
          <w:rFonts w:ascii="Verdana" w:hAnsi="Verdana"/>
          <w:color w:val="000000"/>
          <w:sz w:val="20"/>
        </w:rPr>
        <w:t>Once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de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Setiembre</w:t>
      </w:r>
      <w:r w:rsidRPr="00764758">
        <w:rPr>
          <w:rFonts w:ascii="Verdana" w:hAnsi="Verdana"/>
          <w:color w:val="000000"/>
          <w:sz w:val="20"/>
          <w:lang w:val="ru-RU"/>
        </w:rPr>
        <w:t xml:space="preserve"> и </w:t>
      </w:r>
      <w:r w:rsidRPr="00764758">
        <w:rPr>
          <w:rFonts w:ascii="Verdana" w:hAnsi="Verdana"/>
          <w:color w:val="000000"/>
          <w:sz w:val="20"/>
        </w:rPr>
        <w:t>Constituci</w:t>
      </w:r>
      <w:r w:rsidRPr="00764758">
        <w:rPr>
          <w:rFonts w:ascii="Verdana" w:hAnsi="Verdana"/>
          <w:color w:val="000000"/>
          <w:sz w:val="20"/>
          <w:lang w:val="ru-RU"/>
        </w:rPr>
        <w:t>ó</w:t>
      </w:r>
      <w:r w:rsidRPr="00764758">
        <w:rPr>
          <w:rFonts w:ascii="Verdana" w:hAnsi="Verdana"/>
          <w:color w:val="000000"/>
          <w:sz w:val="20"/>
        </w:rPr>
        <w:t>n</w:t>
      </w:r>
      <w:r w:rsidRPr="00764758">
        <w:rPr>
          <w:rFonts w:ascii="Verdana" w:hAnsi="Verdana"/>
          <w:color w:val="000000"/>
          <w:sz w:val="20"/>
          <w:lang w:val="ru-RU"/>
        </w:rPr>
        <w:t>. Он добавляет, что шарманщики её обработали и дают её слушать в виде танца или хабанеры. Это Линч сообщил в восемьдесят третьем году. Росси в «</w:t>
      </w:r>
      <w:r w:rsidRPr="00764758">
        <w:rPr>
          <w:rFonts w:ascii="Verdana" w:hAnsi="Verdana"/>
          <w:color w:val="000000"/>
          <w:sz w:val="20"/>
        </w:rPr>
        <w:t>Cosas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de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negros</w:t>
      </w:r>
      <w:r w:rsidRPr="00764758">
        <w:rPr>
          <w:rFonts w:ascii="Verdana" w:hAnsi="Verdana"/>
          <w:color w:val="000000"/>
          <w:sz w:val="20"/>
          <w:lang w:val="ru-RU"/>
        </w:rPr>
        <w:t>» тоже видит милонгу окраинной, а не пампасной. Эта пара мнений намекает нам, что полевая милонга вовсе не полевая.</w:t>
      </w:r>
    </w:p>
    <w:p w14:paraId="5A344B0A" w14:textId="4266F9CD" w:rsidR="000712A4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4758">
        <w:rPr>
          <w:rFonts w:ascii="Verdana" w:hAnsi="Verdana"/>
          <w:color w:val="000000"/>
          <w:sz w:val="20"/>
          <w:lang w:val="ru-RU"/>
        </w:rPr>
        <w:t>Теперь перед нами вторая жизнь милонги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милонга задиристая, энтрериосская, драчливая и ищущая ссоры, как объявляет нам определитель. Эта милонга, счастливая в своей напористости,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общеизвестная; та самая, что наглела в похвальбах буэнос-айресских кварталов около восьмидесятого года. Та, с которой отлично ладили куплеты:</w:t>
      </w:r>
    </w:p>
    <w:p w14:paraId="038A0691" w14:textId="77777777" w:rsidR="00764758" w:rsidRPr="00764758" w:rsidRDefault="00764758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23DCF01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 xml:space="preserve">Я из квартала </w:t>
      </w:r>
      <w:r w:rsidRPr="00764758">
        <w:rPr>
          <w:rFonts w:ascii="Verdana" w:hAnsi="Verdana"/>
          <w:i/>
          <w:iCs/>
          <w:color w:val="000000"/>
          <w:sz w:val="20"/>
        </w:rPr>
        <w:t>Monserrat</w:t>
      </w:r>
      <w:r w:rsidRPr="00764758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3E0C12E5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где сверкает сталь;</w:t>
      </w:r>
    </w:p>
    <w:p w14:paraId="0C173168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что говорю ртом,</w:t>
      </w:r>
    </w:p>
    <w:p w14:paraId="232F95DA" w14:textId="703DC0B7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за то отвечаю шкурой.</w:t>
      </w:r>
    </w:p>
    <w:p w14:paraId="54EEA421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 xml:space="preserve">Стоя на </w:t>
      </w:r>
      <w:r w:rsidRPr="00764758">
        <w:rPr>
          <w:rFonts w:ascii="Verdana" w:hAnsi="Verdana"/>
          <w:i/>
          <w:iCs/>
          <w:color w:val="000000"/>
          <w:sz w:val="20"/>
        </w:rPr>
        <w:t>Cinco</w:t>
      </w:r>
      <w:r w:rsidRPr="00764758">
        <w:rPr>
          <w:rFonts w:ascii="Verdana" w:hAnsi="Verdana"/>
          <w:i/>
          <w:iCs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i/>
          <w:iCs/>
          <w:color w:val="000000"/>
          <w:sz w:val="20"/>
        </w:rPr>
        <w:t>Esquinas</w:t>
      </w:r>
    </w:p>
    <w:p w14:paraId="4FCD92F6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со всем моим боевым составом,</w:t>
      </w:r>
    </w:p>
    <w:p w14:paraId="3AD00549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чтобы тебе душу… вышибить,</w:t>
      </w:r>
    </w:p>
    <w:p w14:paraId="73949027" w14:textId="1C8BD0A5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я хлопочу без устали.</w:t>
      </w:r>
    </w:p>
    <w:p w14:paraId="75F0F367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 xml:space="preserve">Я из квартала </w:t>
      </w:r>
      <w:r w:rsidRPr="00764758">
        <w:rPr>
          <w:rFonts w:ascii="Verdana" w:hAnsi="Verdana"/>
          <w:i/>
          <w:iCs/>
          <w:color w:val="000000"/>
          <w:sz w:val="20"/>
        </w:rPr>
        <w:t>Alto</w:t>
      </w:r>
      <w:r w:rsidRPr="00764758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75F095DF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 xml:space="preserve">я из квартала </w:t>
      </w:r>
      <w:r w:rsidRPr="00764758">
        <w:rPr>
          <w:rFonts w:ascii="Verdana" w:hAnsi="Verdana"/>
          <w:i/>
          <w:iCs/>
          <w:color w:val="000000"/>
          <w:sz w:val="20"/>
        </w:rPr>
        <w:t>Retiro</w:t>
      </w:r>
      <w:r w:rsidRPr="00764758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3E69F1CE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я тот, кто никогда не смотрит,</w:t>
      </w:r>
    </w:p>
    <w:p w14:paraId="7C9984DB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с кем ему драться;</w:t>
      </w:r>
    </w:p>
    <w:p w14:paraId="6D2B1A0F" w14:textId="77777777" w:rsidR="00764758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и когда дело доходит до милонги,</w:t>
      </w:r>
    </w:p>
    <w:p w14:paraId="256B1EB5" w14:textId="288ABAC0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64758">
        <w:rPr>
          <w:rFonts w:ascii="Verdana" w:hAnsi="Verdana"/>
          <w:i/>
          <w:iCs/>
          <w:color w:val="000000"/>
          <w:sz w:val="20"/>
          <w:lang w:val="ru-RU"/>
        </w:rPr>
        <w:t>никто мне под руку не попадался.</w:t>
      </w:r>
    </w:p>
    <w:p w14:paraId="3A8A37C8" w14:textId="77777777" w:rsidR="00764758" w:rsidRDefault="00764758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985C705" w14:textId="612A9B07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4758">
        <w:rPr>
          <w:rFonts w:ascii="Verdana" w:hAnsi="Verdana"/>
          <w:color w:val="000000"/>
          <w:sz w:val="20"/>
          <w:lang w:val="ru-RU"/>
        </w:rPr>
        <w:t>Эта мужская и заносчивая душа милонги есть в старых танго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в «</w:t>
      </w:r>
      <w:r w:rsidRPr="00764758">
        <w:rPr>
          <w:rFonts w:ascii="Verdana" w:hAnsi="Verdana"/>
          <w:color w:val="000000"/>
          <w:sz w:val="20"/>
        </w:rPr>
        <w:t>Rodr</w:t>
      </w:r>
      <w:r w:rsidRPr="00764758">
        <w:rPr>
          <w:rFonts w:ascii="Verdana" w:hAnsi="Verdana"/>
          <w:color w:val="000000"/>
          <w:sz w:val="20"/>
          <w:lang w:val="ru-RU"/>
        </w:rPr>
        <w:t>í</w:t>
      </w:r>
      <w:r w:rsidRPr="00764758">
        <w:rPr>
          <w:rFonts w:ascii="Verdana" w:hAnsi="Verdana"/>
          <w:color w:val="000000"/>
          <w:sz w:val="20"/>
        </w:rPr>
        <w:t>guez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Pe</w:t>
      </w:r>
      <w:r w:rsidRPr="00764758">
        <w:rPr>
          <w:rFonts w:ascii="Verdana" w:hAnsi="Verdana"/>
          <w:color w:val="000000"/>
          <w:sz w:val="20"/>
          <w:lang w:val="ru-RU"/>
        </w:rPr>
        <w:t>ñ</w:t>
      </w:r>
      <w:r w:rsidRPr="00764758">
        <w:rPr>
          <w:rFonts w:ascii="Verdana" w:hAnsi="Verdana"/>
          <w:color w:val="000000"/>
          <w:sz w:val="20"/>
        </w:rPr>
        <w:t>a</w:t>
      </w:r>
      <w:r w:rsidRPr="00764758">
        <w:rPr>
          <w:rFonts w:ascii="Verdana" w:hAnsi="Verdana"/>
          <w:color w:val="000000"/>
          <w:sz w:val="20"/>
          <w:lang w:val="ru-RU"/>
        </w:rPr>
        <w:t>», «</w:t>
      </w:r>
      <w:r w:rsidRPr="00764758">
        <w:rPr>
          <w:rFonts w:ascii="Verdana" w:hAnsi="Verdana"/>
          <w:color w:val="000000"/>
          <w:sz w:val="20"/>
        </w:rPr>
        <w:t>Don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Juan</w:t>
      </w:r>
      <w:r w:rsidRPr="00764758">
        <w:rPr>
          <w:rFonts w:ascii="Verdana" w:hAnsi="Verdana"/>
          <w:color w:val="000000"/>
          <w:sz w:val="20"/>
          <w:lang w:val="ru-RU"/>
        </w:rPr>
        <w:t>», «</w:t>
      </w:r>
      <w:r w:rsidRPr="00764758">
        <w:rPr>
          <w:rFonts w:ascii="Verdana" w:hAnsi="Verdana"/>
          <w:color w:val="000000"/>
          <w:sz w:val="20"/>
        </w:rPr>
        <w:t>El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entrerriano</w:t>
      </w:r>
      <w:r w:rsidRPr="00764758">
        <w:rPr>
          <w:rFonts w:ascii="Verdana" w:hAnsi="Verdana"/>
          <w:color w:val="000000"/>
          <w:sz w:val="20"/>
          <w:lang w:val="ru-RU"/>
        </w:rPr>
        <w:t>», «</w:t>
      </w:r>
      <w:r w:rsidRPr="00764758">
        <w:rPr>
          <w:rFonts w:ascii="Verdana" w:hAnsi="Verdana"/>
          <w:color w:val="000000"/>
          <w:sz w:val="20"/>
        </w:rPr>
        <w:t>El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apache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argentino</w:t>
      </w:r>
      <w:r w:rsidRPr="00764758">
        <w:rPr>
          <w:rFonts w:ascii="Verdana" w:hAnsi="Verdana"/>
          <w:color w:val="000000"/>
          <w:sz w:val="20"/>
          <w:lang w:val="ru-RU"/>
        </w:rPr>
        <w:t>», «</w:t>
      </w:r>
      <w:r w:rsidRPr="00764758">
        <w:rPr>
          <w:rFonts w:ascii="Verdana" w:hAnsi="Verdana"/>
          <w:color w:val="000000"/>
          <w:sz w:val="20"/>
        </w:rPr>
        <w:t>Las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siete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palabras</w:t>
      </w:r>
      <w:r w:rsidRPr="00764758">
        <w:rPr>
          <w:rFonts w:ascii="Verdana" w:hAnsi="Verdana"/>
          <w:color w:val="000000"/>
          <w:sz w:val="20"/>
          <w:lang w:val="ru-RU"/>
        </w:rPr>
        <w:t>», «</w:t>
      </w:r>
      <w:r w:rsidRPr="00764758">
        <w:rPr>
          <w:rFonts w:ascii="Verdana" w:hAnsi="Verdana"/>
          <w:color w:val="000000"/>
          <w:sz w:val="20"/>
        </w:rPr>
        <w:t>Pinta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brava</w:t>
      </w:r>
      <w:r w:rsidRPr="00764758">
        <w:rPr>
          <w:rFonts w:ascii="Verdana" w:hAnsi="Verdana"/>
          <w:color w:val="000000"/>
          <w:sz w:val="20"/>
          <w:lang w:val="ru-RU"/>
        </w:rPr>
        <w:t>», «</w:t>
      </w:r>
      <w:r w:rsidRPr="00764758">
        <w:rPr>
          <w:rFonts w:ascii="Verdana" w:hAnsi="Verdana"/>
          <w:color w:val="000000"/>
          <w:sz w:val="20"/>
        </w:rPr>
        <w:t>El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cabur</w:t>
      </w:r>
      <w:r w:rsidRPr="00764758">
        <w:rPr>
          <w:rFonts w:ascii="Verdana" w:hAnsi="Verdana"/>
          <w:color w:val="000000"/>
          <w:sz w:val="20"/>
          <w:lang w:val="ru-RU"/>
        </w:rPr>
        <w:t>é», а также в «</w:t>
      </w:r>
      <w:r w:rsidRPr="00764758">
        <w:rPr>
          <w:rFonts w:ascii="Verdana" w:hAnsi="Verdana"/>
          <w:color w:val="000000"/>
          <w:sz w:val="20"/>
        </w:rPr>
        <w:t>La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payanca</w:t>
      </w:r>
      <w:r w:rsidRPr="00764758">
        <w:rPr>
          <w:rFonts w:ascii="Verdana" w:hAnsi="Verdana"/>
          <w:color w:val="000000"/>
          <w:sz w:val="20"/>
          <w:lang w:val="ru-RU"/>
        </w:rPr>
        <w:t>» и «</w:t>
      </w:r>
      <w:r w:rsidRPr="00764758">
        <w:rPr>
          <w:rFonts w:ascii="Verdana" w:hAnsi="Verdana"/>
          <w:color w:val="000000"/>
          <w:sz w:val="20"/>
        </w:rPr>
        <w:t>Don</w:t>
      </w:r>
      <w:r w:rsidRPr="00764758">
        <w:rPr>
          <w:rFonts w:ascii="Verdana" w:hAnsi="Verdana"/>
          <w:color w:val="000000"/>
          <w:sz w:val="20"/>
          <w:lang w:val="ru-RU"/>
        </w:rPr>
        <w:t xml:space="preserve"> </w:t>
      </w:r>
      <w:r w:rsidRPr="00764758">
        <w:rPr>
          <w:rFonts w:ascii="Verdana" w:hAnsi="Verdana"/>
          <w:color w:val="000000"/>
          <w:sz w:val="20"/>
        </w:rPr>
        <w:t>Esteban</w:t>
      </w:r>
      <w:r w:rsidRPr="00764758">
        <w:rPr>
          <w:rFonts w:ascii="Verdana" w:hAnsi="Verdana"/>
          <w:color w:val="000000"/>
          <w:sz w:val="20"/>
          <w:lang w:val="ru-RU"/>
        </w:rPr>
        <w:t>». Где же в этой душе энтрериосское? Ответ неприятно лёгок: определитель называет эту душу энтрериосской для того, чтобы третья милонга, его собственная, та, где тощая собака умывает лицо невесте по имени Судьба, оказалась истинно буэнос-айресской. А это, как мы уже знаем, не так. Это брюзгливая итальянская жалоба, и ничего больше.</w:t>
      </w:r>
    </w:p>
    <w:p w14:paraId="3C30C64F" w14:textId="48CE571A" w:rsidR="000712A4" w:rsidRPr="00764758" w:rsidRDefault="000712A4" w:rsidP="0076475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64758">
        <w:rPr>
          <w:rFonts w:ascii="Verdana" w:hAnsi="Verdana"/>
          <w:color w:val="000000"/>
          <w:sz w:val="20"/>
          <w:lang w:val="ru-RU"/>
        </w:rPr>
        <w:lastRenderedPageBreak/>
        <w:t>Когда-то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если первобытные танго не обманывают,</w:t>
      </w:r>
      <w:r w:rsidR="00764758">
        <w:rPr>
          <w:rFonts w:ascii="Verdana" w:hAnsi="Verdana"/>
          <w:color w:val="000000"/>
          <w:sz w:val="20"/>
          <w:lang w:val="ru-RU"/>
        </w:rPr>
        <w:t xml:space="preserve"> — </w:t>
      </w:r>
      <w:r w:rsidRPr="00764758">
        <w:rPr>
          <w:rFonts w:ascii="Verdana" w:hAnsi="Verdana"/>
          <w:color w:val="000000"/>
          <w:sz w:val="20"/>
          <w:lang w:val="ru-RU"/>
        </w:rPr>
        <w:t>счастье дохнуло над розовыми стенами предместья и было в воскресной щеголеватости окраинного франта и в весёлой болтовне девок у ворот. Какие храбрости его истратили, какие щедрости, какие праздники? Несомненно одно: оно прошло, а трусливый бандонеон и безвыходное танго остались с нами. Их приходится терпеть, но пусть их не называют буэнос-айресскими.</w:t>
      </w:r>
    </w:p>
    <w:p w14:paraId="5D019E55" w14:textId="01764E2F" w:rsidR="008429C7" w:rsidRPr="00764758" w:rsidRDefault="008429C7" w:rsidP="0076475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8429C7" w:rsidRPr="00764758" w:rsidSect="007647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3386C" w14:textId="77777777" w:rsidR="00FA4EC8" w:rsidRDefault="00FA4EC8" w:rsidP="007B62D2">
      <w:pPr>
        <w:spacing w:after="0" w:line="240" w:lineRule="auto"/>
      </w:pPr>
      <w:r>
        <w:separator/>
      </w:r>
    </w:p>
  </w:endnote>
  <w:endnote w:type="continuationSeparator" w:id="0">
    <w:p w14:paraId="16B6B7DF" w14:textId="77777777" w:rsidR="00FA4EC8" w:rsidRDefault="00FA4EC8" w:rsidP="007B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65D4" w14:textId="77777777" w:rsidR="007B62D2" w:rsidRDefault="007B62D2" w:rsidP="007647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E97904B" w14:textId="77777777" w:rsidR="007B62D2" w:rsidRDefault="007B62D2" w:rsidP="007B62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6A5A1" w14:textId="694620D8" w:rsidR="007B62D2" w:rsidRPr="00764758" w:rsidRDefault="00764758" w:rsidP="00764758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64758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764758">
      <w:rPr>
        <w:rStyle w:val="PageNumber"/>
        <w:rFonts w:ascii="Arial" w:hAnsi="Arial" w:cs="Arial"/>
        <w:color w:val="999999"/>
        <w:sz w:val="20"/>
      </w:rPr>
      <w:t>http</w:t>
    </w:r>
    <w:r w:rsidRPr="00764758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764758">
      <w:rPr>
        <w:rStyle w:val="PageNumber"/>
        <w:rFonts w:ascii="Arial" w:hAnsi="Arial" w:cs="Arial"/>
        <w:color w:val="999999"/>
        <w:sz w:val="20"/>
      </w:rPr>
      <w:t>artefact</w:t>
    </w:r>
    <w:r w:rsidRPr="00764758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64758">
      <w:rPr>
        <w:rStyle w:val="PageNumber"/>
        <w:rFonts w:ascii="Arial" w:hAnsi="Arial" w:cs="Arial"/>
        <w:color w:val="999999"/>
        <w:sz w:val="20"/>
      </w:rPr>
      <w:t>lib</w:t>
    </w:r>
    <w:r w:rsidRPr="00764758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64758">
      <w:rPr>
        <w:rStyle w:val="PageNumber"/>
        <w:rFonts w:ascii="Arial" w:hAnsi="Arial" w:cs="Arial"/>
        <w:color w:val="999999"/>
        <w:sz w:val="20"/>
      </w:rPr>
      <w:t>ru</w:t>
    </w:r>
    <w:r w:rsidRPr="00764758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6B39" w14:textId="77777777" w:rsidR="007B62D2" w:rsidRDefault="007B6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9AE3C" w14:textId="77777777" w:rsidR="00FA4EC8" w:rsidRDefault="00FA4EC8" w:rsidP="007B62D2">
      <w:pPr>
        <w:spacing w:after="0" w:line="240" w:lineRule="auto"/>
      </w:pPr>
      <w:r>
        <w:separator/>
      </w:r>
    </w:p>
  </w:footnote>
  <w:footnote w:type="continuationSeparator" w:id="0">
    <w:p w14:paraId="009884C4" w14:textId="77777777" w:rsidR="00FA4EC8" w:rsidRDefault="00FA4EC8" w:rsidP="007B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4E568" w14:textId="77777777" w:rsidR="007B62D2" w:rsidRDefault="007B62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C20B5" w14:textId="6B384752" w:rsidR="007B62D2" w:rsidRPr="00764758" w:rsidRDefault="00764758" w:rsidP="00764758">
    <w:pPr>
      <w:pStyle w:val="Header"/>
      <w:rPr>
        <w:rFonts w:ascii="Arial" w:hAnsi="Arial" w:cs="Arial"/>
        <w:color w:val="999999"/>
        <w:sz w:val="20"/>
        <w:lang w:val="ru-RU"/>
      </w:rPr>
    </w:pPr>
    <w:r w:rsidRPr="00764758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41AF" w14:textId="77777777" w:rsidR="007B62D2" w:rsidRDefault="007B62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12A4"/>
    <w:rsid w:val="0015074B"/>
    <w:rsid w:val="0029639D"/>
    <w:rsid w:val="00326F90"/>
    <w:rsid w:val="004E5785"/>
    <w:rsid w:val="00764758"/>
    <w:rsid w:val="007B62D2"/>
    <w:rsid w:val="008429C7"/>
    <w:rsid w:val="0099207C"/>
    <w:rsid w:val="00AA1D8D"/>
    <w:rsid w:val="00AB4D39"/>
    <w:rsid w:val="00B47730"/>
    <w:rsid w:val="00CB0664"/>
    <w:rsid w:val="00FA4EC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E3A9B9F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99207C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99207C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99207C"/>
    <w:rPr>
      <w:i/>
      <w:iCs/>
    </w:rPr>
  </w:style>
  <w:style w:type="paragraph" w:customStyle="1" w:styleId="Para13">
    <w:name w:val="Para 13"/>
    <w:basedOn w:val="Normal"/>
    <w:qFormat/>
    <w:rsid w:val="00AB4D39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7B62D2"/>
  </w:style>
  <w:style w:type="paragraph" w:styleId="NormalWeb">
    <w:name w:val="Normal (Web)"/>
    <w:basedOn w:val="Normal"/>
    <w:uiPriority w:val="99"/>
    <w:semiHidden/>
    <w:unhideWhenUsed/>
    <w:rsid w:val="0007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527</Words>
  <Characters>3023</Characters>
  <Application>Microsoft Office Word</Application>
  <DocSecurity>0</DocSecurity>
  <Lines>62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Apunte férvido sobre las tres vidas de la milonga</vt:lpstr>
    </vt:vector>
  </TitlesOfParts>
  <Manager>Andrey Piskunov</Manager>
  <Company>Библиотека «Артефакт»</Company>
  <LinksUpToDate>false</LinksUpToDate>
  <CharactersWithSpaces>3525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Пылкая заметка о трёх жизнях милонги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2026-06-16T04:37:00Z</dcterms:modified>
  <cp:category/>
</cp:coreProperties>
</file>